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235"/>
        <w:tblW w:w="13436" w:type="dxa"/>
        <w:tblLook w:val="04A0" w:firstRow="1" w:lastRow="0" w:firstColumn="1" w:lastColumn="0" w:noHBand="0" w:noVBand="1"/>
      </w:tblPr>
      <w:tblGrid>
        <w:gridCol w:w="988"/>
        <w:gridCol w:w="9979"/>
        <w:gridCol w:w="2469"/>
      </w:tblGrid>
      <w:tr w:rsidR="00684F1C" w:rsidRPr="007A0A4B" w14:paraId="22ED3E36" w14:textId="77777777" w:rsidTr="00684F1C">
        <w:trPr>
          <w:trHeight w:val="3119"/>
        </w:trPr>
        <w:tc>
          <w:tcPr>
            <w:tcW w:w="988" w:type="dxa"/>
          </w:tcPr>
          <w:p w14:paraId="56EB1365" w14:textId="77777777" w:rsidR="00684F1C" w:rsidRDefault="00684F1C" w:rsidP="00684F1C">
            <w:pPr>
              <w:suppressAutoHyphens w:val="0"/>
              <w:ind w:right="771"/>
              <w:jc w:val="center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</w:p>
          <w:p w14:paraId="1353DD9D" w14:textId="77777777" w:rsidR="00684F1C" w:rsidRDefault="00684F1C" w:rsidP="00684F1C">
            <w:pPr>
              <w:tabs>
                <w:tab w:val="left" w:pos="6280"/>
              </w:tabs>
              <w:suppressAutoHyphens w:val="0"/>
              <w:rPr>
                <w:rFonts w:eastAsia="Calibri"/>
                <w:position w:val="0"/>
                <w:szCs w:val="22"/>
                <w:lang w:eastAsia="en-US"/>
              </w:rPr>
            </w:pPr>
          </w:p>
        </w:tc>
        <w:tc>
          <w:tcPr>
            <w:tcW w:w="9979" w:type="dxa"/>
          </w:tcPr>
          <w:p w14:paraId="1369944C" w14:textId="77777777" w:rsidR="00684F1C" w:rsidRDefault="00684F1C" w:rsidP="00684F1C">
            <w:pPr>
              <w:tabs>
                <w:tab w:val="left" w:pos="1425"/>
              </w:tabs>
              <w:suppressAutoHyphens w:val="0"/>
              <w:rPr>
                <w:rFonts w:eastAsia="Calibri"/>
                <w:color w:val="4F81BD"/>
                <w:position w:val="0"/>
                <w:szCs w:val="22"/>
                <w:lang w:val="kk-KZ" w:eastAsia="en-US"/>
              </w:rPr>
            </w:pPr>
          </w:p>
          <w:p w14:paraId="546AED4B" w14:textId="7AADC8AE" w:rsidR="00684F1C" w:rsidRDefault="00684F1C" w:rsidP="00684F1C">
            <w:pPr>
              <w:suppressAutoHyphens w:val="0"/>
              <w:jc w:val="right"/>
              <w:rPr>
                <w:rFonts w:eastAsia="Calibri"/>
                <w:b/>
                <w:color w:val="4F81BD"/>
                <w:position w:val="0"/>
                <w:sz w:val="18"/>
                <w:szCs w:val="18"/>
                <w:lang w:val="kk-KZ" w:eastAsia="en-US"/>
              </w:rPr>
            </w:pPr>
          </w:p>
          <w:p w14:paraId="5830F7BB" w14:textId="77777777" w:rsidR="005B027F" w:rsidRPr="005B027F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22"/>
                <w:szCs w:val="22"/>
                <w:lang w:eastAsia="en-US"/>
              </w:rPr>
            </w:pPr>
          </w:p>
          <w:p w14:paraId="699CAD5A" w14:textId="19070280" w:rsidR="005B027F" w:rsidRPr="005B027F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  <w:r w:rsidRPr="005B027F">
              <w:rPr>
                <w:rFonts w:eastAsia="Calibri"/>
                <w:position w:val="0"/>
                <w:sz w:val="18"/>
                <w:szCs w:val="18"/>
                <w:lang w:eastAsia="en-US"/>
              </w:rPr>
              <w:t>ОБЪЯВЛЕНИЕ №</w:t>
            </w:r>
            <w:r w:rsidR="003E1DC2">
              <w:rPr>
                <w:rFonts w:eastAsia="Calibri"/>
                <w:position w:val="0"/>
                <w:sz w:val="18"/>
                <w:szCs w:val="18"/>
                <w:lang w:eastAsia="en-US"/>
              </w:rPr>
              <w:t>4</w:t>
            </w:r>
          </w:p>
          <w:p w14:paraId="3AB34F88" w14:textId="77777777" w:rsidR="005B027F" w:rsidRPr="005B027F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  <w:r w:rsidRPr="005B027F">
              <w:rPr>
                <w:rFonts w:eastAsia="Calibri"/>
                <w:position w:val="0"/>
                <w:sz w:val="18"/>
                <w:szCs w:val="18"/>
                <w:lang w:eastAsia="en-US"/>
              </w:rPr>
              <w:t>о проведении закупа способом запроса ценовых предложений медицинских изделий</w:t>
            </w:r>
          </w:p>
          <w:p w14:paraId="0BFED539" w14:textId="77777777" w:rsidR="005B027F" w:rsidRPr="005B027F" w:rsidRDefault="005B027F" w:rsidP="005B027F">
            <w:pPr>
              <w:suppressAutoHyphens w:val="0"/>
              <w:ind w:firstLine="720"/>
              <w:jc w:val="center"/>
              <w:rPr>
                <w:rFonts w:ascii="Calibri" w:eastAsia="Calibri" w:hAnsi="Calibri"/>
                <w:position w:val="0"/>
                <w:sz w:val="18"/>
                <w:szCs w:val="18"/>
                <w:lang w:eastAsia="en-US"/>
              </w:rPr>
            </w:pPr>
          </w:p>
          <w:p w14:paraId="4A46A3C1" w14:textId="39C155A6" w:rsidR="005B027F" w:rsidRPr="005B027F" w:rsidRDefault="006C44CA" w:rsidP="005B027F">
            <w:pPr>
              <w:suppressAutoHyphens w:val="0"/>
              <w:ind w:left="-720" w:firstLine="720"/>
              <w:jc w:val="right"/>
              <w:rPr>
                <w:rFonts w:eastAsia="Calibri"/>
                <w:position w:val="0"/>
                <w:sz w:val="18"/>
                <w:szCs w:val="18"/>
                <w:lang w:eastAsia="en-US"/>
              </w:rPr>
            </w:pPr>
            <w:r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15 марта </w:t>
            </w:r>
            <w:r w:rsidR="005B027F" w:rsidRPr="005B027F"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   2024 г</w:t>
            </w:r>
          </w:p>
          <w:p w14:paraId="1304F7DC" w14:textId="77777777" w:rsidR="005B027F" w:rsidRPr="005B027F" w:rsidRDefault="005B027F" w:rsidP="005B027F">
            <w:pPr>
              <w:suppressAutoHyphens w:val="0"/>
              <w:rPr>
                <w:color w:val="000000"/>
                <w:position w:val="0"/>
                <w:sz w:val="18"/>
                <w:szCs w:val="18"/>
                <w:lang w:eastAsia="ru-RU"/>
              </w:rPr>
            </w:pPr>
            <w:r w:rsidRPr="005B027F">
              <w:rPr>
                <w:rFonts w:eastAsia="Calibri"/>
                <w:position w:val="0"/>
                <w:sz w:val="18"/>
                <w:szCs w:val="18"/>
                <w:lang w:eastAsia="en-US"/>
              </w:rPr>
              <w:t xml:space="preserve"> </w:t>
            </w:r>
            <w:r w:rsidRPr="005B027F">
              <w:rPr>
                <w:color w:val="000000"/>
                <w:position w:val="0"/>
                <w:sz w:val="18"/>
                <w:szCs w:val="18"/>
                <w:lang w:eastAsia="ru-RU"/>
              </w:rPr>
              <w:t>Наименование и адрес заказчика или организатора закупа:</w:t>
            </w:r>
          </w:p>
          <w:p w14:paraId="40A5771B" w14:textId="77777777" w:rsidR="005B027F" w:rsidRPr="005B027F" w:rsidRDefault="005B027F" w:rsidP="005B027F">
            <w:pPr>
              <w:suppressAutoHyphens w:val="0"/>
              <w:jc w:val="center"/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</w:pPr>
            <w:r w:rsidRPr="005B027F">
              <w:rPr>
                <w:color w:val="000000"/>
                <w:position w:val="0"/>
                <w:sz w:val="18"/>
                <w:szCs w:val="18"/>
                <w:lang w:eastAsia="ru-RU"/>
              </w:rPr>
              <w:t xml:space="preserve"> </w:t>
            </w:r>
            <w:r w:rsidRPr="005B027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 xml:space="preserve">Коммунальное государственное предприятие на праве хозяйственного ведения «Поликлиника №9 города Семей» управления здравоохранения области </w:t>
            </w:r>
            <w:proofErr w:type="spellStart"/>
            <w:r w:rsidRPr="005B027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Абай,города</w:t>
            </w:r>
            <w:proofErr w:type="spellEnd"/>
            <w:r w:rsidRPr="005B027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 xml:space="preserve"> Семей ,ул</w:t>
            </w:r>
            <w:proofErr w:type="gramStart"/>
            <w:r w:rsidRPr="005B027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.С</w:t>
            </w:r>
            <w:proofErr w:type="gramEnd"/>
            <w:r w:rsidRPr="005B027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таханова,17</w:t>
            </w:r>
          </w:p>
          <w:p w14:paraId="26D72BE4" w14:textId="77777777" w:rsidR="005B027F" w:rsidRPr="005B027F" w:rsidRDefault="005B027F" w:rsidP="005B027F">
            <w:pPr>
              <w:suppressAutoHyphens w:val="0"/>
              <w:jc w:val="both"/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</w:pPr>
            <w:r w:rsidRPr="005B027F">
              <w:rPr>
                <w:color w:val="000000"/>
                <w:position w:val="0"/>
                <w:sz w:val="18"/>
                <w:szCs w:val="18"/>
                <w:lang w:eastAsia="ru-RU"/>
              </w:rPr>
              <w:t>В соответствии с постановлением Приказом Министра здравоохранения Республики Казахстан от 07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Start"/>
            <w:r w:rsidRPr="005B027F">
              <w:rPr>
                <w:color w:val="000000"/>
                <w:position w:val="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B027F">
              <w:rPr>
                <w:color w:val="000000"/>
                <w:position w:val="0"/>
                <w:sz w:val="18"/>
                <w:szCs w:val="18"/>
                <w:lang w:eastAsia="ru-RU"/>
              </w:rPr>
      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</w:t>
            </w:r>
            <w:proofErr w:type="gramStart"/>
            <w:r w:rsidRPr="005B027F">
              <w:rPr>
                <w:color w:val="000000"/>
                <w:position w:val="0"/>
                <w:sz w:val="18"/>
                <w:szCs w:val="18"/>
                <w:lang w:eastAsia="ru-RU"/>
              </w:rPr>
              <w:t>е-</w:t>
            </w:r>
            <w:proofErr w:type="gramEnd"/>
            <w:r w:rsidRPr="005B027F">
              <w:rPr>
                <w:color w:val="000000"/>
                <w:position w:val="0"/>
                <w:sz w:val="18"/>
                <w:szCs w:val="18"/>
                <w:lang w:eastAsia="ru-RU"/>
              </w:rPr>
              <w:t xml:space="preserve"> Правила) </w:t>
            </w:r>
            <w:r w:rsidRPr="005B027F">
              <w:rPr>
                <w:color w:val="000000"/>
                <w:position w:val="0"/>
                <w:sz w:val="18"/>
                <w:szCs w:val="18"/>
                <w:u w:val="single"/>
                <w:lang w:eastAsia="ru-RU"/>
              </w:rPr>
              <w:t>Коммунальное государственное предприятие на праве хозяйственного ведения «Поликлиника №9 города Семей» управления здравоохранения области Абай, объявляет о проведении закупа способом запроса ценовых предложений следующих медицинских изделий:</w:t>
            </w:r>
          </w:p>
          <w:p w14:paraId="67DA2FC3" w14:textId="77777777" w:rsidR="00684F1C" w:rsidRPr="005B027F" w:rsidRDefault="00684F1C" w:rsidP="0063549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69" w:type="dxa"/>
          </w:tcPr>
          <w:p w14:paraId="6B64B2ED" w14:textId="77777777" w:rsidR="00684F1C" w:rsidRPr="005B027F" w:rsidRDefault="00684F1C" w:rsidP="00684F1C">
            <w:pPr>
              <w:tabs>
                <w:tab w:val="left" w:pos="6280"/>
              </w:tabs>
              <w:suppressAutoHyphens w:val="0"/>
              <w:ind w:right="1428"/>
              <w:jc w:val="center"/>
              <w:rPr>
                <w:rFonts w:eastAsia="Calibri"/>
                <w:b/>
                <w:color w:val="4F81BD"/>
                <w:position w:val="0"/>
                <w:sz w:val="18"/>
                <w:szCs w:val="18"/>
                <w:lang w:eastAsia="en-US"/>
              </w:rPr>
            </w:pPr>
          </w:p>
          <w:p w14:paraId="11311487" w14:textId="77777777" w:rsidR="00684F1C" w:rsidRPr="005B027F" w:rsidRDefault="00684F1C" w:rsidP="00684F1C">
            <w:pPr>
              <w:suppressAutoHyphens w:val="0"/>
              <w:ind w:right="1428"/>
              <w:jc w:val="center"/>
              <w:rPr>
                <w:rFonts w:eastAsia="Calibri"/>
                <w:color w:val="4F81BD"/>
                <w:position w:val="0"/>
                <w:szCs w:val="22"/>
                <w:lang w:eastAsia="en-US"/>
              </w:rPr>
            </w:pPr>
          </w:p>
        </w:tc>
      </w:tr>
    </w:tbl>
    <w:p w14:paraId="03B740B9" w14:textId="77777777" w:rsidR="00684F1C" w:rsidRPr="005B027F" w:rsidRDefault="00684F1C" w:rsidP="00684F1C">
      <w:pPr>
        <w:tabs>
          <w:tab w:val="left" w:pos="3732"/>
        </w:tabs>
        <w:jc w:val="both"/>
        <w:rPr>
          <w:i/>
          <w:sz w:val="20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709"/>
        <w:gridCol w:w="850"/>
        <w:gridCol w:w="1276"/>
      </w:tblGrid>
      <w:tr w:rsidR="00AC6D5F" w:rsidRPr="00B60AC9" w14:paraId="004C8125" w14:textId="77777777" w:rsidTr="008C521E">
        <w:trPr>
          <w:trHeight w:val="1518"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285" w14:textId="496C63D9" w:rsidR="00AC6D5F" w:rsidRPr="007A511C" w:rsidRDefault="00AC6D5F" w:rsidP="00B60AC9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>
              <w:rPr>
                <w:b/>
                <w:bCs/>
                <w:color w:val="000000"/>
                <w:position w:val="0"/>
                <w:sz w:val="20"/>
              </w:rPr>
              <w:t>№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D49" w14:textId="25305E5A" w:rsidR="00AC6D5F" w:rsidRPr="00B60AC9" w:rsidRDefault="00AC6D5F" w:rsidP="00B60AC9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A379" w14:textId="2FDBA722" w:rsidR="00AC6D5F" w:rsidRPr="00B60AC9" w:rsidRDefault="00AC6D5F" w:rsidP="00B60AC9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 xml:space="preserve">Кол-во </w:t>
            </w:r>
            <w:proofErr w:type="spellStart"/>
            <w:r w:rsidRPr="00B60AC9">
              <w:rPr>
                <w:b/>
                <w:bCs/>
                <w:color w:val="000000"/>
                <w:position w:val="0"/>
                <w:sz w:val="20"/>
              </w:rPr>
              <w:t>наб</w:t>
            </w:r>
            <w:proofErr w:type="spellEnd"/>
            <w:r>
              <w:rPr>
                <w:b/>
                <w:bCs/>
                <w:color w:val="000000"/>
                <w:position w:val="0"/>
                <w:sz w:val="20"/>
              </w:rPr>
              <w:t>-</w:t>
            </w:r>
            <w:r w:rsidRPr="00B60AC9">
              <w:rPr>
                <w:b/>
                <w:bCs/>
                <w:color w:val="000000"/>
                <w:position w:val="0"/>
                <w:sz w:val="20"/>
              </w:rPr>
              <w:t>в в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A99" w14:textId="77777777" w:rsidR="00AC6D5F" w:rsidRPr="00B60AC9" w:rsidRDefault="00AC6D5F" w:rsidP="00B60AC9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b/>
                <w:bCs/>
                <w:color w:val="000000"/>
                <w:position w:val="0"/>
                <w:sz w:val="20"/>
              </w:rPr>
              <w:t>Цена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057FF" w14:textId="77777777" w:rsidR="00AC6D5F" w:rsidRPr="00B60AC9" w:rsidRDefault="00AC6D5F" w:rsidP="00B60AC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b/>
                <w:bCs/>
                <w:color w:val="000000"/>
                <w:position w:val="0"/>
                <w:sz w:val="20"/>
              </w:rPr>
              <w:t>Сумма</w:t>
            </w:r>
          </w:p>
        </w:tc>
      </w:tr>
      <w:tr w:rsidR="007A511C" w:rsidRPr="00B60AC9" w14:paraId="3588AB1C" w14:textId="77777777" w:rsidTr="008C521E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50E" w14:textId="4BA0623C" w:rsidR="007A511C" w:rsidRPr="00AC6D5F" w:rsidRDefault="00AC6D5F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695" w14:textId="56B9B7A9" w:rsidR="007A511C" w:rsidRPr="007A0A4B" w:rsidRDefault="007A511C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7A511C">
              <w:rPr>
                <w:color w:val="000000"/>
                <w:position w:val="0"/>
                <w:sz w:val="20"/>
              </w:rPr>
              <w:t>Аланинаминотрансфераза R1: 4х35 мл + R2: 2х18 мл</w:t>
            </w:r>
            <w:r w:rsidRPr="007A511C">
              <w:rPr>
                <w:sz w:val="20"/>
              </w:rPr>
              <w:t xml:space="preserve">.Двухкомпонентный набор реагентов для определения GOT/ALT. Объем рабочего раствора не менее 176мл, рассчитан не менее чем на 600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A511C">
              <w:rPr>
                <w:sz w:val="20"/>
              </w:rPr>
              <w:t>реагентной</w:t>
            </w:r>
            <w:proofErr w:type="spellEnd"/>
            <w:r w:rsidRPr="007A511C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A511C">
              <w:rPr>
                <w:sz w:val="20"/>
              </w:rPr>
              <w:t>мультисывороток</w:t>
            </w:r>
            <w:proofErr w:type="spellEnd"/>
            <w:r w:rsidRPr="007A511C">
              <w:rPr>
                <w:sz w:val="20"/>
              </w:rPr>
              <w:t xml:space="preserve"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 </w:t>
            </w:r>
            <w:r w:rsidRPr="007A511C">
              <w:rPr>
                <w:color w:val="000000"/>
                <w:position w:val="0"/>
                <w:sz w:val="20"/>
              </w:rPr>
              <w:t>105-000814-0</w:t>
            </w:r>
            <w:r w:rsidR="007A0A4B">
              <w:rPr>
                <w:color w:val="000000"/>
                <w:position w:val="0"/>
                <w:sz w:val="20"/>
              </w:rPr>
              <w:t xml:space="preserve">0. 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1B25" w14:textId="77777777" w:rsidR="007A511C" w:rsidRPr="00B60AC9" w:rsidRDefault="007A511C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0DCC" w14:textId="77777777" w:rsidR="007A511C" w:rsidRPr="00B60AC9" w:rsidRDefault="007A511C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61537" w14:textId="77777777" w:rsidR="007A511C" w:rsidRPr="00B60AC9" w:rsidRDefault="007A511C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175000</w:t>
            </w:r>
          </w:p>
        </w:tc>
      </w:tr>
      <w:tr w:rsidR="007A511C" w:rsidRPr="00B60AC9" w14:paraId="4032C2DC" w14:textId="77777777" w:rsidTr="008C521E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9A0" w14:textId="62E572D5" w:rsidR="007A511C" w:rsidRPr="00AC6D5F" w:rsidRDefault="00AC6D5F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299" w14:textId="02F30914" w:rsidR="007A511C" w:rsidRPr="007A0A4B" w:rsidRDefault="007A511C" w:rsidP="007A511C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7A511C">
              <w:rPr>
                <w:color w:val="000000"/>
                <w:position w:val="0"/>
                <w:sz w:val="20"/>
              </w:rPr>
              <w:t>Альфа-амилаза R1: 1х38 мл + R2: 1х10 мл</w:t>
            </w:r>
            <w:r w:rsidRPr="007A511C">
              <w:rPr>
                <w:sz w:val="20"/>
              </w:rPr>
              <w:t xml:space="preserve">. Двухкомпонентный набор реагентов для определения </w:t>
            </w:r>
            <w:r w:rsidRPr="007A511C">
              <w:rPr>
                <w:sz w:val="20"/>
                <w:lang w:val="en-US"/>
              </w:rPr>
              <w:t>AMS</w:t>
            </w:r>
            <w:r w:rsidRPr="007A511C">
              <w:rPr>
                <w:sz w:val="20"/>
              </w:rPr>
              <w:t xml:space="preserve">. Объем рабочего раствора не менее 48мл, рассчитан не менее чем на 155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A511C">
              <w:rPr>
                <w:sz w:val="20"/>
              </w:rPr>
              <w:t>реагентной</w:t>
            </w:r>
            <w:proofErr w:type="spellEnd"/>
            <w:r w:rsidRPr="007A511C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A511C">
              <w:rPr>
                <w:sz w:val="20"/>
              </w:rPr>
              <w:t>мультисывороток</w:t>
            </w:r>
            <w:proofErr w:type="spellEnd"/>
            <w:r w:rsidRPr="007A511C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>
              <w:rPr>
                <w:sz w:val="20"/>
              </w:rPr>
              <w:t xml:space="preserve"> </w:t>
            </w:r>
            <w:r w:rsidRPr="007A511C">
              <w:rPr>
                <w:color w:val="000000"/>
                <w:position w:val="0"/>
                <w:sz w:val="20"/>
              </w:rPr>
              <w:t>105-000847-00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BB1" w14:textId="77777777" w:rsidR="007A511C" w:rsidRPr="00B60AC9" w:rsidRDefault="007A511C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261" w14:textId="77777777" w:rsidR="007A511C" w:rsidRPr="00B60AC9" w:rsidRDefault="007A511C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53125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D7E8" w14:textId="77777777" w:rsidR="007A511C" w:rsidRPr="00B60AC9" w:rsidRDefault="007A511C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265625</w:t>
            </w:r>
          </w:p>
        </w:tc>
      </w:tr>
      <w:tr w:rsidR="007A511C" w:rsidRPr="00B60AC9" w14:paraId="535F37B6" w14:textId="77777777" w:rsidTr="008C521E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B1E" w14:textId="177349D2" w:rsidR="007A511C" w:rsidRPr="00AC6D5F" w:rsidRDefault="00AC6D5F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A3" w14:textId="3A39B762" w:rsidR="007A511C" w:rsidRPr="007A0A4B" w:rsidRDefault="007A511C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proofErr w:type="spellStart"/>
            <w:r w:rsidRPr="007A511C">
              <w:rPr>
                <w:color w:val="000000"/>
                <w:position w:val="0"/>
                <w:sz w:val="20"/>
              </w:rPr>
              <w:t>Аспартатаминотрансфераза</w:t>
            </w:r>
            <w:proofErr w:type="spellEnd"/>
            <w:r w:rsidRPr="007A511C">
              <w:rPr>
                <w:color w:val="000000"/>
                <w:position w:val="0"/>
                <w:sz w:val="20"/>
              </w:rPr>
              <w:t xml:space="preserve"> R1: 4х35 мл + R2: 2х18 мл</w:t>
            </w:r>
            <w:proofErr w:type="gramStart"/>
            <w:r w:rsidRPr="007A511C">
              <w:rPr>
                <w:sz w:val="20"/>
              </w:rPr>
              <w:t xml:space="preserve"> .</w:t>
            </w:r>
            <w:proofErr w:type="gramEnd"/>
            <w:r w:rsidRPr="007A511C">
              <w:rPr>
                <w:sz w:val="20"/>
              </w:rPr>
              <w:t xml:space="preserve"> Двухкомпонентный набор реагентов для определения GOT/A</w:t>
            </w:r>
            <w:r w:rsidRPr="007A511C">
              <w:rPr>
                <w:sz w:val="20"/>
                <w:lang w:val="en-US"/>
              </w:rPr>
              <w:t>S</w:t>
            </w:r>
            <w:r w:rsidRPr="007A511C">
              <w:rPr>
                <w:sz w:val="20"/>
              </w:rPr>
              <w:t xml:space="preserve">T. Объем рабочего раствора не менее 176мл, рассчитан не менее чем на 600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7A511C">
              <w:rPr>
                <w:sz w:val="20"/>
              </w:rPr>
              <w:t>реагентной</w:t>
            </w:r>
            <w:proofErr w:type="spellEnd"/>
            <w:r w:rsidRPr="007A511C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7A511C">
              <w:rPr>
                <w:sz w:val="20"/>
              </w:rPr>
              <w:t>мультисывороток</w:t>
            </w:r>
            <w:proofErr w:type="spellEnd"/>
            <w:r w:rsidRPr="007A511C">
              <w:rPr>
                <w:sz w:val="20"/>
              </w:rPr>
              <w:t xml:space="preserve">. Не требуется повторных процедур программирования методики в памяти анализатора и размещения </w:t>
            </w:r>
            <w:r w:rsidRPr="007A511C">
              <w:rPr>
                <w:sz w:val="20"/>
              </w:rPr>
              <w:lastRenderedPageBreak/>
              <w:t xml:space="preserve">контейнеров в строго определенных ячейках карусели реагентов. Кат.№ </w:t>
            </w:r>
            <w:r w:rsidRPr="007A511C">
              <w:rPr>
                <w:color w:val="000000"/>
                <w:position w:val="0"/>
                <w:sz w:val="20"/>
              </w:rPr>
              <w:t>105-000815-00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7D8" w14:textId="77777777" w:rsidR="007A511C" w:rsidRPr="00B60AC9" w:rsidRDefault="007A511C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060" w14:textId="77777777" w:rsidR="007A511C" w:rsidRPr="00B60AC9" w:rsidRDefault="007A511C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490C" w14:textId="77777777" w:rsidR="007A511C" w:rsidRPr="00B60AC9" w:rsidRDefault="007A511C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175000</w:t>
            </w:r>
          </w:p>
        </w:tc>
      </w:tr>
      <w:tr w:rsidR="00AC6D5F" w:rsidRPr="00B60AC9" w14:paraId="464B3FE3" w14:textId="77777777" w:rsidTr="008C521E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1F9B" w14:textId="484CE89A" w:rsidR="00AC6D5F" w:rsidRPr="00E45024" w:rsidRDefault="00E4502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3D75" w14:textId="1D18836C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GLU</w:t>
            </w:r>
            <w:r w:rsidRPr="00AC6D5F">
              <w:rPr>
                <w:sz w:val="20"/>
              </w:rPr>
              <w:t>-</w:t>
            </w:r>
            <w:proofErr w:type="spellStart"/>
            <w:r w:rsidRPr="00AC6D5F">
              <w:rPr>
                <w:sz w:val="20"/>
                <w:lang w:val="en-US"/>
              </w:rPr>
              <w:t>GodPap</w:t>
            </w:r>
            <w:proofErr w:type="spellEnd"/>
            <w:r w:rsidRPr="00AC6D5F">
              <w:rPr>
                <w:sz w:val="20"/>
              </w:rPr>
              <w:t xml:space="preserve">. Объем рабочего раствора не менее 200мл, рассчитан не менее чем на 560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5Проведение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105-000849-00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96F6" w14:textId="77777777" w:rsidR="00AC6D5F" w:rsidRPr="00B60AC9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9C4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29375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17AE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293750</w:t>
            </w:r>
          </w:p>
        </w:tc>
      </w:tr>
      <w:tr w:rsidR="00AC6D5F" w:rsidRPr="00B60AC9" w14:paraId="6BF19407" w14:textId="77777777" w:rsidTr="008C521E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17E" w14:textId="6FFC1298" w:rsidR="00AC6D5F" w:rsidRPr="00AC6D5F" w:rsidRDefault="00E4502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A22F" w14:textId="725E2DE1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CREA</w:t>
            </w:r>
            <w:r w:rsidRPr="00AC6D5F">
              <w:rPr>
                <w:sz w:val="20"/>
              </w:rPr>
              <w:t>-</w:t>
            </w:r>
            <w:r w:rsidRPr="00AC6D5F">
              <w:rPr>
                <w:sz w:val="20"/>
                <w:lang w:val="en-US"/>
              </w:rPr>
              <w:t>S</w:t>
            </w:r>
            <w:r w:rsidRPr="00AC6D5F">
              <w:rPr>
                <w:sz w:val="20"/>
              </w:rPr>
              <w:t xml:space="preserve">. Объем рабочего раствора не менее 210мл, рассчитан не менее чем на 250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105-004614-00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757" w14:textId="77777777" w:rsidR="00AC6D5F" w:rsidRPr="00B60AC9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CF4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44675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E846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804150</w:t>
            </w:r>
          </w:p>
        </w:tc>
      </w:tr>
      <w:tr w:rsidR="00AC6D5F" w:rsidRPr="00B60AC9" w14:paraId="22F08126" w14:textId="77777777" w:rsidTr="008C521E">
        <w:trPr>
          <w:trHeight w:val="8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BF23" w14:textId="395C1F42" w:rsidR="00AC6D5F" w:rsidRPr="00AC6D5F" w:rsidRDefault="00E45024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4188" w14:textId="7FCF5343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UA</w:t>
            </w:r>
            <w:r w:rsidRPr="00AC6D5F">
              <w:rPr>
                <w:sz w:val="20"/>
              </w:rPr>
              <w:t xml:space="preserve">. Объем рабочего раствора не менее 200мл, рассчитан не менее чем на 565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105-000848-00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7AF" w14:textId="77777777" w:rsidR="00AC6D5F" w:rsidRPr="00B60AC9" w:rsidRDefault="00AC6D5F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ED1" w14:textId="77777777" w:rsidR="00AC6D5F" w:rsidRPr="00B60AC9" w:rsidRDefault="00AC6D5F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44725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3699" w14:textId="77777777" w:rsidR="00AC6D5F" w:rsidRPr="00B60AC9" w:rsidRDefault="00AC6D5F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89450</w:t>
            </w:r>
          </w:p>
        </w:tc>
      </w:tr>
      <w:tr w:rsidR="00AC6D5F" w:rsidRPr="00B60AC9" w14:paraId="02F3E55C" w14:textId="77777777" w:rsidTr="008C521E">
        <w:trPr>
          <w:trHeight w:val="5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221" w14:textId="7DA05B85" w:rsidR="00AC6D5F" w:rsidRPr="00AC6D5F" w:rsidRDefault="00E4502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EBA0" w14:textId="4046926B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BUN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UREA</w:t>
            </w:r>
            <w:r w:rsidRPr="00AC6D5F">
              <w:rPr>
                <w:sz w:val="20"/>
              </w:rPr>
              <w:t xml:space="preserve">. Объем рабочего раствора не менее 176мл, рассчитан не менее чем на 410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105-000824-00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699" w14:textId="77777777" w:rsidR="00AC6D5F" w:rsidRPr="00B60AC9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ABEC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29550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460D6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413700</w:t>
            </w:r>
          </w:p>
        </w:tc>
      </w:tr>
      <w:tr w:rsidR="00AC6D5F" w:rsidRPr="00B60AC9" w14:paraId="5E678BDC" w14:textId="77777777" w:rsidTr="008C521E">
        <w:trPr>
          <w:trHeight w:val="5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B850" w14:textId="7625D8CC" w:rsidR="00AC6D5F" w:rsidRPr="00AC6D5F" w:rsidRDefault="00E4502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7A45" w14:textId="3E53438E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Однокомпонентный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TP</w:t>
            </w:r>
            <w:r w:rsidRPr="00AC6D5F">
              <w:rPr>
                <w:sz w:val="20"/>
              </w:rPr>
              <w:t xml:space="preserve">. Объем рабочего раствора не менее 160мл, рассчитан не менее чем на 730 тестов.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</w:t>
            </w:r>
            <w:proofErr w:type="spellStart"/>
            <w:r w:rsidRPr="00AC6D5F">
              <w:rPr>
                <w:sz w:val="20"/>
              </w:rPr>
              <w:t>должнен</w:t>
            </w:r>
            <w:proofErr w:type="spellEnd"/>
            <w:r w:rsidRPr="00AC6D5F">
              <w:rPr>
                <w:sz w:val="20"/>
              </w:rPr>
              <w:t xml:space="preserve"> быть полностью адаптирован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105-000823-00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593" w14:textId="77777777" w:rsidR="00AC6D5F" w:rsidRPr="00B60AC9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D2D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7F75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84800</w:t>
            </w:r>
          </w:p>
        </w:tc>
      </w:tr>
      <w:tr w:rsidR="00AC6D5F" w:rsidRPr="00B60AC9" w14:paraId="70D1F92D" w14:textId="77777777" w:rsidTr="008C521E">
        <w:trPr>
          <w:trHeight w:val="5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6764" w14:textId="4EA4C6C7" w:rsidR="00AC6D5F" w:rsidRPr="00AC6D5F" w:rsidRDefault="00E4502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D7F6" w14:textId="7C844A2E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TBIL/VOX. Объем рабочего раствора не менее 176мл, рассчитан не менее чем на 410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105-000826-00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4A5" w14:textId="77777777" w:rsidR="00AC6D5F" w:rsidRPr="00B60AC9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DB47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52125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09EF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208500</w:t>
            </w:r>
          </w:p>
        </w:tc>
      </w:tr>
      <w:tr w:rsidR="00AC6D5F" w:rsidRPr="00B60AC9" w14:paraId="7D918EAF" w14:textId="77777777" w:rsidTr="008C521E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2E01" w14:textId="42CEB16C" w:rsidR="00AC6D5F" w:rsidRPr="00AC6D5F" w:rsidRDefault="00E45024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638B" w14:textId="380D612D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DBIL/VOX. Объем рабочего раствора не менее 176мл, рассчитан не менее чем на 410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105-000827-00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A03E" w14:textId="77777777" w:rsidR="00AC6D5F" w:rsidRPr="00B60AC9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AD5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52125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5890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208500</w:t>
            </w:r>
          </w:p>
        </w:tc>
      </w:tr>
      <w:tr w:rsidR="00AC6D5F" w:rsidRPr="00B60AC9" w14:paraId="48A24BBB" w14:textId="77777777" w:rsidTr="008C521E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D1E0" w14:textId="6185D5F3" w:rsidR="00AC6D5F" w:rsidRPr="00AC6D5F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  <w:r w:rsidR="00E45024">
              <w:rPr>
                <w:color w:val="000000"/>
                <w:position w:val="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0FED" w14:textId="1672498F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Однокомпонентный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CHOL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TC</w:t>
            </w:r>
            <w:r w:rsidRPr="00AC6D5F">
              <w:rPr>
                <w:sz w:val="20"/>
              </w:rPr>
              <w:t xml:space="preserve">. Объем рабочего раствора не менее 160мл, рассчитан не менее чем на 490 тестов.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105-000820-00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F20F" w14:textId="77777777" w:rsidR="00AC6D5F" w:rsidRPr="00B60AC9" w:rsidRDefault="00AC6D5F" w:rsidP="004B635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CFC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39900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49E9" w14:textId="77777777" w:rsidR="00AC6D5F" w:rsidRPr="00B60AC9" w:rsidRDefault="00AC6D5F" w:rsidP="004B635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399000</w:t>
            </w:r>
          </w:p>
        </w:tc>
      </w:tr>
      <w:tr w:rsidR="00AC6D5F" w:rsidRPr="00B60AC9" w14:paraId="751A8957" w14:textId="77777777" w:rsidTr="008C521E">
        <w:trPr>
          <w:trHeight w:val="19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7D8" w14:textId="1A60DF2C" w:rsidR="00AC6D5F" w:rsidRPr="00AC6D5F" w:rsidRDefault="00AC6D5F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1</w:t>
            </w:r>
            <w:r w:rsidR="00E45024"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81B6" w14:textId="5FC365D7" w:rsidR="00AC6D5F" w:rsidRPr="007A0A4B" w:rsidRDefault="00AC6D5F" w:rsidP="000D58C0">
            <w:pPr>
              <w:suppressAutoHyphens w:val="0"/>
              <w:rPr>
                <w:sz w:val="20"/>
              </w:rPr>
            </w:pPr>
            <w:r w:rsidRPr="00AC6D5F">
              <w:rPr>
                <w:sz w:val="20"/>
              </w:rPr>
              <w:t xml:space="preserve">Одноуровневый </w:t>
            </w:r>
            <w:proofErr w:type="spellStart"/>
            <w:r w:rsidRPr="00AC6D5F">
              <w:rPr>
                <w:sz w:val="20"/>
              </w:rPr>
              <w:t>мультикалибратор</w:t>
            </w:r>
            <w:proofErr w:type="spellEnd"/>
            <w:r w:rsidRPr="00AC6D5F">
              <w:rPr>
                <w:sz w:val="20"/>
              </w:rPr>
              <w:t xml:space="preserve"> для однокомпонентных и двухкомпонентных тестов. Лиофильно высушенная сыворотка с аттестованными значениями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для калибровки тестов: GOT/ALT, GOT/A</w:t>
            </w:r>
            <w:r w:rsidRPr="00AC6D5F">
              <w:rPr>
                <w:sz w:val="20"/>
                <w:lang w:val="en-US"/>
              </w:rPr>
              <w:t>S</w:t>
            </w:r>
            <w:r w:rsidRPr="00AC6D5F">
              <w:rPr>
                <w:sz w:val="20"/>
              </w:rPr>
              <w:t xml:space="preserve">T, </w:t>
            </w:r>
            <w:r w:rsidRPr="00AC6D5F">
              <w:rPr>
                <w:sz w:val="20"/>
                <w:lang w:val="en-US"/>
              </w:rPr>
              <w:t>ALB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AMS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GGT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GLU</w:t>
            </w:r>
            <w:r w:rsidRPr="00AC6D5F">
              <w:rPr>
                <w:sz w:val="20"/>
              </w:rPr>
              <w:t>-</w:t>
            </w:r>
            <w:proofErr w:type="spellStart"/>
            <w:r w:rsidRPr="00AC6D5F">
              <w:rPr>
                <w:sz w:val="20"/>
                <w:lang w:val="en-US"/>
              </w:rPr>
              <w:t>GodPap</w:t>
            </w:r>
            <w:proofErr w:type="spellEnd"/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FE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CREA</w:t>
            </w:r>
            <w:r w:rsidRPr="00AC6D5F">
              <w:rPr>
                <w:sz w:val="20"/>
              </w:rPr>
              <w:t>-</w:t>
            </w:r>
            <w:r w:rsidRPr="00AC6D5F">
              <w:rPr>
                <w:sz w:val="20"/>
                <w:lang w:val="en-US"/>
              </w:rPr>
              <w:t>J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LDH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MG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BUN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UREA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TP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TBIL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VOX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DBIL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VOX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CHOL</w:t>
            </w:r>
            <w:r w:rsidRPr="00AC6D5F">
              <w:rPr>
                <w:sz w:val="20"/>
              </w:rPr>
              <w:t>/</w:t>
            </w:r>
            <w:r w:rsidRPr="00AC6D5F">
              <w:rPr>
                <w:sz w:val="20"/>
                <w:lang w:val="en-US"/>
              </w:rPr>
              <w:t>TC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TG</w:t>
            </w:r>
            <w:r w:rsidRPr="00AC6D5F">
              <w:rPr>
                <w:sz w:val="20"/>
              </w:rPr>
              <w:t xml:space="preserve">, </w:t>
            </w:r>
            <w:r w:rsidRPr="00AC6D5F">
              <w:rPr>
                <w:sz w:val="20"/>
                <w:lang w:val="en-US"/>
              </w:rPr>
              <w:t>ALP</w:t>
            </w:r>
            <w:r w:rsidRPr="00AC6D5F">
              <w:rPr>
                <w:sz w:val="20"/>
              </w:rPr>
              <w:t xml:space="preserve">, UA. При разведении лиофильной сыворотки, объем готового калибратора не менее 30мл. Набор </w:t>
            </w:r>
            <w:proofErr w:type="spellStart"/>
            <w:r w:rsidRPr="00AC6D5F">
              <w:rPr>
                <w:sz w:val="20"/>
              </w:rPr>
              <w:t>мультикалибратора</w:t>
            </w:r>
            <w:proofErr w:type="spellEnd"/>
            <w:r w:rsidRPr="00AC6D5F">
              <w:rPr>
                <w:sz w:val="20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105-001144-00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  <w:p w14:paraId="4EE6F11B" w14:textId="1DFB856E" w:rsidR="00AC6D5F" w:rsidRPr="00AC6D5F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6E01" w14:textId="77777777" w:rsidR="00AC6D5F" w:rsidRPr="00B60AC9" w:rsidRDefault="00AC6D5F" w:rsidP="00B60AC9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79FE" w14:textId="77777777" w:rsidR="00AC6D5F" w:rsidRPr="00B60AC9" w:rsidRDefault="00AC6D5F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219325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BC45" w14:textId="77777777" w:rsidR="00AC6D5F" w:rsidRPr="00B60AC9" w:rsidRDefault="00AC6D5F" w:rsidP="00B60AC9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438650</w:t>
            </w:r>
          </w:p>
        </w:tc>
      </w:tr>
      <w:tr w:rsidR="00AC6D5F" w:rsidRPr="00B60AC9" w14:paraId="3FB9A0BA" w14:textId="77777777" w:rsidTr="008C521E">
        <w:trPr>
          <w:trHeight w:val="13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CC7D" w14:textId="6C563B1F" w:rsidR="00AC6D5F" w:rsidRPr="00E45024" w:rsidRDefault="00E4502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EDCA" w14:textId="69AA1395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Лиофильно высушенная сыворотка для проведения QC, с аттестованными нормальными значениями (N) для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биохимии, липидного спектра, специфических белков</w:t>
            </w:r>
            <w:proofErr w:type="gramStart"/>
            <w:r w:rsidRPr="00AC6D5F">
              <w:rPr>
                <w:sz w:val="20"/>
              </w:rPr>
              <w:t xml:space="preserve">.. </w:t>
            </w:r>
            <w:proofErr w:type="gramEnd"/>
            <w:r w:rsidRPr="00AC6D5F">
              <w:rPr>
                <w:sz w:val="20"/>
              </w:rPr>
              <w:t>При разведении лиофильной сыворотки,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105-009119-00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75D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48B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246450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3149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739350</w:t>
            </w:r>
          </w:p>
        </w:tc>
      </w:tr>
      <w:tr w:rsidR="00AC6D5F" w:rsidRPr="00B60AC9" w14:paraId="4871A162" w14:textId="77777777" w:rsidTr="008C521E">
        <w:trPr>
          <w:trHeight w:val="2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5ED" w14:textId="48C55EF7" w:rsidR="00AC6D5F" w:rsidRPr="00AC6D5F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  <w:r w:rsidR="00E45024">
              <w:rPr>
                <w:color w:val="000000"/>
                <w:position w:val="0"/>
                <w:sz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9BE" w14:textId="455A0FE3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Лиофильно высушенная сыворотка для проведения QC, с аттестованными нормальными значениями (Р) для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биохимии, липидного спектра, специфических белков. При разведении лиофильной сыворотки,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105-009120-00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E02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D6E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291600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BB8A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874800</w:t>
            </w:r>
          </w:p>
        </w:tc>
      </w:tr>
      <w:tr w:rsidR="00AC6D5F" w:rsidRPr="00B60AC9" w14:paraId="6C7124C1" w14:textId="77777777" w:rsidTr="008C521E">
        <w:trPr>
          <w:trHeight w:val="8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701" w14:textId="6073124D" w:rsidR="00AC6D5F" w:rsidRPr="00AC6D5F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  <w:r w:rsidR="00E45024">
              <w:rPr>
                <w:color w:val="000000"/>
                <w:position w:val="0"/>
                <w:sz w:val="2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D31E" w14:textId="6D234977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определения </w:t>
            </w:r>
            <w:r w:rsidRPr="00AC6D5F">
              <w:rPr>
                <w:sz w:val="20"/>
                <w:lang w:val="en-US"/>
              </w:rPr>
              <w:t>CRP</w:t>
            </w:r>
            <w:r w:rsidRPr="00AC6D5F">
              <w:rPr>
                <w:sz w:val="20"/>
              </w:rPr>
              <w:t xml:space="preserve"> методом нефелометрии. Объем рабочего раствора не менее 50мл, рассчитан не менее чем на 120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105-000841-00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1A1D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7AC9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79800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29BE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798000</w:t>
            </w:r>
          </w:p>
        </w:tc>
      </w:tr>
      <w:tr w:rsidR="00AC6D5F" w:rsidRPr="00B60AC9" w14:paraId="0D32C7E6" w14:textId="77777777" w:rsidTr="008C521E">
        <w:trPr>
          <w:trHeight w:val="242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F770" w14:textId="317F1227" w:rsidR="00AC6D5F" w:rsidRPr="00AC6D5F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  <w:r w:rsidR="00E45024">
              <w:rPr>
                <w:color w:val="000000"/>
                <w:position w:val="0"/>
                <w:sz w:val="20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E53C" w14:textId="6EBE65B5" w:rsidR="00AC6D5F" w:rsidRPr="007A0A4B" w:rsidRDefault="00AC6D5F" w:rsidP="00AC6D5F">
            <w:pPr>
              <w:suppressAutoHyphens w:val="0"/>
              <w:spacing w:after="100" w:afterAutospacing="1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Специальный калибратор на основе человеческой сыворотки, имеющий аттестованные референтные значения, для проведения процедуры калибровки при выполнении тестов на С3, С4, CRP, </w:t>
            </w:r>
            <w:proofErr w:type="spellStart"/>
            <w:r w:rsidRPr="00AC6D5F">
              <w:rPr>
                <w:sz w:val="20"/>
              </w:rPr>
              <w:t>IgA</w:t>
            </w:r>
            <w:proofErr w:type="spellEnd"/>
            <w:r w:rsidRPr="00AC6D5F">
              <w:rPr>
                <w:sz w:val="20"/>
              </w:rPr>
              <w:t xml:space="preserve">, </w:t>
            </w:r>
            <w:proofErr w:type="spellStart"/>
            <w:r w:rsidRPr="00AC6D5F">
              <w:rPr>
                <w:sz w:val="20"/>
              </w:rPr>
              <w:t>IgG</w:t>
            </w:r>
            <w:proofErr w:type="spellEnd"/>
            <w:r w:rsidRPr="00AC6D5F">
              <w:rPr>
                <w:sz w:val="20"/>
              </w:rPr>
              <w:t xml:space="preserve">, </w:t>
            </w:r>
            <w:proofErr w:type="spellStart"/>
            <w:r w:rsidRPr="00AC6D5F">
              <w:rPr>
                <w:sz w:val="20"/>
              </w:rPr>
              <w:t>IgM</w:t>
            </w:r>
            <w:proofErr w:type="spellEnd"/>
            <w:r w:rsidRPr="00AC6D5F">
              <w:rPr>
                <w:sz w:val="20"/>
              </w:rPr>
              <w:t xml:space="preserve">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анализатора. Каждый флакон должен быть снабжен специальным штрих-кодом совместимым со встроенным сканером анализатора. Кат.№</w:t>
            </w:r>
            <w:r w:rsidRPr="00AC6D5F">
              <w:rPr>
                <w:color w:val="000000"/>
                <w:position w:val="0"/>
                <w:sz w:val="20"/>
              </w:rPr>
              <w:t>105-001129-00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3FE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6A2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262375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45236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524750</w:t>
            </w:r>
          </w:p>
        </w:tc>
      </w:tr>
      <w:tr w:rsidR="00AC6D5F" w:rsidRPr="00B60AC9" w14:paraId="7717105E" w14:textId="77777777" w:rsidTr="008C521E">
        <w:trPr>
          <w:trHeight w:val="110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3C8" w14:textId="526CC93C" w:rsidR="00AC6D5F" w:rsidRPr="00AC6D5F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lastRenderedPageBreak/>
              <w:t>1</w:t>
            </w:r>
            <w:r w:rsidR="00E45024">
              <w:rPr>
                <w:color w:val="000000"/>
                <w:position w:val="0"/>
                <w:sz w:val="2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B86F" w14:textId="22944884" w:rsidR="00AC6D5F" w:rsidRPr="007A0A4B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54мл, рассчитан не менее чем на 155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</w:t>
            </w:r>
            <w:r w:rsidRPr="00AC6D5F">
              <w:rPr>
                <w:color w:val="000000"/>
                <w:position w:val="0"/>
                <w:sz w:val="20"/>
              </w:rPr>
              <w:t xml:space="preserve"> 105-000835-00</w:t>
            </w:r>
            <w:r w:rsidR="007A0A4B">
              <w:rPr>
                <w:color w:val="000000"/>
                <w:position w:val="0"/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3AC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4337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98975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8A65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1781550</w:t>
            </w:r>
          </w:p>
        </w:tc>
      </w:tr>
      <w:tr w:rsidR="00AC6D5F" w:rsidRPr="00B60AC9" w14:paraId="6921B044" w14:textId="77777777" w:rsidTr="008C521E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D185" w14:textId="2EEFA956" w:rsidR="00AC6D5F" w:rsidRPr="00AC6D5F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  <w:r w:rsidR="00E45024">
              <w:rPr>
                <w:color w:val="000000"/>
                <w:position w:val="0"/>
                <w:sz w:val="20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2641" w14:textId="4900A642" w:rsidR="00AC6D5F" w:rsidRPr="00AC6D5F" w:rsidRDefault="00AC6D5F" w:rsidP="000D58C0">
            <w:pPr>
              <w:suppressAutoHyphens w:val="0"/>
              <w:rPr>
                <w:sz w:val="20"/>
              </w:rPr>
            </w:pPr>
            <w:r w:rsidRPr="00AC6D5F">
              <w:rPr>
                <w:sz w:val="20"/>
              </w:rPr>
              <w:t>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54мл, рассчитан не менее чем на 155 тестов.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</w:t>
            </w:r>
          </w:p>
          <w:p w14:paraId="543EBDCE" w14:textId="1F26CBFB" w:rsidR="00AC6D5F" w:rsidRPr="00AC6D5F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Контейнера должны быть полностью адаптированы для </w:t>
            </w:r>
            <w:proofErr w:type="spellStart"/>
            <w:r w:rsidRPr="00AC6D5F">
              <w:rPr>
                <w:sz w:val="20"/>
              </w:rPr>
              <w:t>реагентной</w:t>
            </w:r>
            <w:proofErr w:type="spellEnd"/>
            <w:r w:rsidRPr="00AC6D5F">
              <w:rPr>
                <w:sz w:val="20"/>
              </w:rPr>
              <w:t xml:space="preserve">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AC6D5F">
              <w:rPr>
                <w:sz w:val="20"/>
              </w:rPr>
              <w:t>мультисывороток</w:t>
            </w:r>
            <w:proofErr w:type="spellEnd"/>
            <w:r w:rsidRPr="00AC6D5F">
              <w:rPr>
                <w:sz w:val="20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реагентов. Кат.№ 105-000836-00</w:t>
            </w:r>
            <w:r w:rsidR="007A0A4B">
              <w:rPr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CE2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DB3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111625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3F14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2009250</w:t>
            </w:r>
          </w:p>
        </w:tc>
      </w:tr>
      <w:tr w:rsidR="00AC6D5F" w:rsidRPr="00B60AC9" w14:paraId="2408E538" w14:textId="77777777" w:rsidTr="008C521E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FDEA" w14:textId="24ADA538" w:rsidR="00AC6D5F" w:rsidRPr="00AC6D5F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1</w:t>
            </w:r>
            <w:r w:rsidR="00E45024">
              <w:rPr>
                <w:color w:val="000000"/>
                <w:position w:val="0"/>
                <w:sz w:val="20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018" w14:textId="19C2F71F" w:rsidR="00AC6D5F" w:rsidRPr="00AC6D5F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proofErr w:type="spellStart"/>
            <w:r w:rsidRPr="00AC6D5F">
              <w:rPr>
                <w:sz w:val="20"/>
              </w:rPr>
              <w:t>Мультикалибратор</w:t>
            </w:r>
            <w:proofErr w:type="spellEnd"/>
            <w:r w:rsidRPr="00AC6D5F">
              <w:rPr>
                <w:sz w:val="20"/>
              </w:rPr>
              <w:t xml:space="preserve"> для двухкомпонентных тестов при количественном определении липидов. Лиофильно высушенная сыворотка с аттестованными значениями </w:t>
            </w:r>
            <w:proofErr w:type="spellStart"/>
            <w:r w:rsidRPr="00AC6D5F">
              <w:rPr>
                <w:sz w:val="20"/>
              </w:rPr>
              <w:t>аналитов</w:t>
            </w:r>
            <w:proofErr w:type="spellEnd"/>
            <w:r w:rsidRPr="00AC6D5F">
              <w:rPr>
                <w:sz w:val="20"/>
              </w:rPr>
              <w:t xml:space="preserve"> для калибровки тестов: АроА1, </w:t>
            </w:r>
            <w:proofErr w:type="spellStart"/>
            <w:r w:rsidRPr="00AC6D5F">
              <w:rPr>
                <w:sz w:val="20"/>
              </w:rPr>
              <w:t>АроВ</w:t>
            </w:r>
            <w:proofErr w:type="spellEnd"/>
            <w:r w:rsidRPr="00AC6D5F">
              <w:rPr>
                <w:sz w:val="20"/>
              </w:rPr>
              <w:t xml:space="preserve">, HDL-C, LDL-C, определяемых методом прямой фотометрии без осаждения. При разведении лиофильной сыворотки, объем готового калибратора не менее 5мл. Набор </w:t>
            </w:r>
            <w:proofErr w:type="spellStart"/>
            <w:r w:rsidRPr="00AC6D5F">
              <w:rPr>
                <w:sz w:val="20"/>
              </w:rPr>
              <w:t>мультикалибратора</w:t>
            </w:r>
            <w:proofErr w:type="spellEnd"/>
            <w:r w:rsidRPr="00AC6D5F">
              <w:rPr>
                <w:sz w:val="20"/>
              </w:rPr>
              <w:t xml:space="preserve">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 Кат.№ 105-001128-00</w:t>
            </w:r>
            <w:r w:rsidR="007A0A4B">
              <w:rPr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D171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E7B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192225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36D8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384450</w:t>
            </w:r>
          </w:p>
        </w:tc>
      </w:tr>
      <w:tr w:rsidR="00AC6D5F" w:rsidRPr="00B60AC9" w14:paraId="25392FB9" w14:textId="77777777" w:rsidTr="008C521E">
        <w:trPr>
          <w:trHeight w:val="5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6CCA" w14:textId="4284AEDB" w:rsidR="00AC6D5F" w:rsidRPr="00AC6D5F" w:rsidRDefault="00E45024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>
              <w:rPr>
                <w:color w:val="000000"/>
                <w:position w:val="0"/>
                <w:sz w:val="20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4F47" w14:textId="23776FF8" w:rsidR="00AC6D5F" w:rsidRPr="00AC6D5F" w:rsidRDefault="00AC6D5F" w:rsidP="000D58C0">
            <w:pPr>
              <w:suppressAutoHyphens w:val="0"/>
              <w:rPr>
                <w:color w:val="000000"/>
                <w:position w:val="0"/>
                <w:sz w:val="20"/>
              </w:rPr>
            </w:pPr>
            <w:r w:rsidRPr="00AC6D5F">
              <w:rPr>
                <w:sz w:val="20"/>
              </w:rPr>
              <w:t xml:space="preserve">Специальный концентрированный реагент </w:t>
            </w:r>
            <w:proofErr w:type="spellStart"/>
            <w:r w:rsidRPr="00AC6D5F">
              <w:rPr>
                <w:sz w:val="20"/>
              </w:rPr>
              <w:t>Dete</w:t>
            </w:r>
            <w:r w:rsidRPr="00AC6D5F">
              <w:rPr>
                <w:sz w:val="20"/>
                <w:lang w:val="en-US"/>
              </w:rPr>
              <w:t>rgent</w:t>
            </w:r>
            <w:proofErr w:type="spellEnd"/>
            <w:r w:rsidRPr="00AC6D5F">
              <w:rPr>
                <w:sz w:val="20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AC6D5F">
                <w:rPr>
                  <w:sz w:val="20"/>
                </w:rPr>
                <w:t>15 литров</w:t>
              </w:r>
            </w:smartTag>
            <w:r w:rsidRPr="00AC6D5F">
              <w:rPr>
                <w:sz w:val="20"/>
              </w:rPr>
              <w:t xml:space="preserve"> моющего раствора. Кат.№ 105-000748-00</w:t>
            </w:r>
            <w:r w:rsidR="007A0A4B">
              <w:rPr>
                <w:sz w:val="20"/>
              </w:rPr>
              <w:t>.</w:t>
            </w:r>
            <w:r w:rsidR="007A0A4B" w:rsidRPr="007A0A4B">
              <w:rPr>
                <w:color w:val="000000"/>
                <w:position w:val="0"/>
                <w:sz w:val="20"/>
              </w:rPr>
              <w:t xml:space="preserve"> для автоматического биохимического анализатора BS-240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Pro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</w:t>
            </w:r>
            <w:proofErr w:type="spellStart"/>
            <w:r w:rsidR="007A0A4B" w:rsidRPr="007A0A4B">
              <w:rPr>
                <w:color w:val="000000"/>
                <w:position w:val="0"/>
                <w:sz w:val="20"/>
              </w:rPr>
              <w:t>Mindray</w:t>
            </w:r>
            <w:proofErr w:type="spellEnd"/>
            <w:r w:rsidR="007A0A4B" w:rsidRPr="007A0A4B">
              <w:rPr>
                <w:color w:val="000000"/>
                <w:position w:val="0"/>
                <w:sz w:val="20"/>
              </w:rPr>
              <w:t xml:space="preserve"> (Закрытая система)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1908" w14:textId="77777777" w:rsidR="00AC6D5F" w:rsidRPr="00B60AC9" w:rsidRDefault="00AC6D5F" w:rsidP="000D58C0">
            <w:pPr>
              <w:suppressAutoHyphens w:val="0"/>
              <w:jc w:val="center"/>
              <w:rPr>
                <w:color w:val="000000"/>
                <w:position w:val="0"/>
                <w:sz w:val="20"/>
              </w:rPr>
            </w:pPr>
            <w:r w:rsidRPr="00B60AC9">
              <w:rPr>
                <w:color w:val="000000"/>
                <w:positio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A82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58725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50EE5" w14:textId="77777777" w:rsidR="00AC6D5F" w:rsidRPr="00B60AC9" w:rsidRDefault="00AC6D5F" w:rsidP="000D58C0">
            <w:pPr>
              <w:suppressAutoHyphens w:val="0"/>
              <w:jc w:val="center"/>
              <w:rPr>
                <w:rFonts w:ascii="Calibri" w:hAnsi="Calibri" w:cs="Calibri"/>
                <w:color w:val="000000"/>
                <w:position w:val="0"/>
                <w:sz w:val="20"/>
              </w:rPr>
            </w:pPr>
            <w:r w:rsidRPr="00B60AC9">
              <w:rPr>
                <w:rFonts w:ascii="Calibri" w:hAnsi="Calibri" w:cs="Calibri"/>
                <w:color w:val="000000"/>
                <w:position w:val="0"/>
                <w:sz w:val="20"/>
              </w:rPr>
              <w:t>1174500</w:t>
            </w:r>
          </w:p>
        </w:tc>
      </w:tr>
      <w:tr w:rsidR="00AC6D5F" w:rsidRPr="00B60AC9" w14:paraId="46112106" w14:textId="77777777" w:rsidTr="008C521E">
        <w:trPr>
          <w:trHeight w:val="56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860A" w14:textId="4ACD0CD0" w:rsidR="00AC6D5F" w:rsidRPr="00AC6D5F" w:rsidRDefault="00AC6D5F" w:rsidP="000D58C0">
            <w:pPr>
              <w:suppressAutoHyphens w:val="0"/>
              <w:jc w:val="center"/>
              <w:rPr>
                <w:b/>
                <w:bCs/>
                <w:color w:val="000000"/>
                <w:position w:val="0"/>
                <w:sz w:val="20"/>
              </w:rPr>
            </w:pPr>
          </w:p>
        </w:tc>
      </w:tr>
    </w:tbl>
    <w:p w14:paraId="405D4F71" w14:textId="3DC376C6" w:rsidR="00F32739" w:rsidRPr="008B2CE9" w:rsidRDefault="00F32739" w:rsidP="003D5745">
      <w:pPr>
        <w:ind w:left="-709"/>
      </w:pPr>
    </w:p>
    <w:p w14:paraId="13B01654" w14:textId="77777777" w:rsidR="008B2CE9" w:rsidRPr="008B2CE9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8B2CE9">
        <w:rPr>
          <w:color w:val="000000"/>
          <w:position w:val="0"/>
          <w:sz w:val="18"/>
          <w:szCs w:val="18"/>
          <w:lang w:eastAsia="ru-RU"/>
        </w:rPr>
        <w:t>Место предоставления (приема) документов: 071411, РК, область Абай,  города Семей, ул</w:t>
      </w:r>
      <w:proofErr w:type="gramStart"/>
      <w:r w:rsidRPr="008B2CE9">
        <w:rPr>
          <w:color w:val="000000"/>
          <w:position w:val="0"/>
          <w:sz w:val="18"/>
          <w:szCs w:val="18"/>
          <w:lang w:eastAsia="ru-RU"/>
        </w:rPr>
        <w:t>.С</w:t>
      </w:r>
      <w:proofErr w:type="gramEnd"/>
      <w:r w:rsidRPr="008B2CE9">
        <w:rPr>
          <w:color w:val="000000"/>
          <w:position w:val="0"/>
          <w:sz w:val="18"/>
          <w:szCs w:val="18"/>
          <w:lang w:eastAsia="ru-RU"/>
        </w:rPr>
        <w:t>таханова,17 в бухгалтерию в рабочее время (09:00ч до 18:00ч, обеденный перерыв с 13:00ч до 14:00ч).</w:t>
      </w:r>
    </w:p>
    <w:p w14:paraId="65555806" w14:textId="5A4DEC61" w:rsidR="008B2CE9" w:rsidRPr="008B2CE9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8B2CE9">
        <w:rPr>
          <w:color w:val="000000"/>
          <w:position w:val="0"/>
          <w:sz w:val="18"/>
          <w:szCs w:val="18"/>
          <w:lang w:eastAsia="ru-RU"/>
        </w:rPr>
        <w:t xml:space="preserve">Окончательный срок подачи ценовых предложений: до 10:00ч. </w:t>
      </w:r>
      <w:r w:rsidR="00DE2EE9">
        <w:rPr>
          <w:color w:val="000000"/>
          <w:position w:val="0"/>
          <w:sz w:val="18"/>
          <w:szCs w:val="18"/>
          <w:lang w:eastAsia="ru-RU"/>
        </w:rPr>
        <w:t xml:space="preserve">25 </w:t>
      </w:r>
      <w:bookmarkStart w:id="0" w:name="_GoBack"/>
      <w:bookmarkEnd w:id="0"/>
      <w:r w:rsidRPr="008B2CE9">
        <w:rPr>
          <w:color w:val="000000"/>
          <w:position w:val="0"/>
          <w:sz w:val="18"/>
          <w:szCs w:val="18"/>
          <w:lang w:eastAsia="ru-RU"/>
        </w:rPr>
        <w:t>марта  2024года.</w:t>
      </w:r>
    </w:p>
    <w:p w14:paraId="161ED146" w14:textId="0849F427" w:rsidR="008B2CE9" w:rsidRPr="008B2CE9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8B2CE9">
        <w:rPr>
          <w:color w:val="000000"/>
          <w:position w:val="0"/>
          <w:sz w:val="18"/>
          <w:szCs w:val="18"/>
          <w:lang w:eastAsia="ru-RU"/>
        </w:rPr>
        <w:t xml:space="preserve">Дата время и место вскрытия конвертов с ценовыми предложениями: в 10:05ч </w:t>
      </w:r>
      <w:r w:rsidR="00DE2EE9">
        <w:rPr>
          <w:color w:val="000000"/>
          <w:position w:val="0"/>
          <w:sz w:val="18"/>
          <w:szCs w:val="18"/>
          <w:lang w:eastAsia="ru-RU"/>
        </w:rPr>
        <w:t>25</w:t>
      </w:r>
      <w:r w:rsidRPr="008B2CE9">
        <w:rPr>
          <w:color w:val="000000"/>
          <w:position w:val="0"/>
          <w:sz w:val="18"/>
          <w:szCs w:val="18"/>
          <w:lang w:eastAsia="ru-RU"/>
        </w:rPr>
        <w:t xml:space="preserve"> марта  2024 года по адресу: : 071411, РК, область Абай,  города Семей, ул</w:t>
      </w:r>
      <w:proofErr w:type="gramStart"/>
      <w:r w:rsidRPr="008B2CE9">
        <w:rPr>
          <w:color w:val="000000"/>
          <w:position w:val="0"/>
          <w:sz w:val="18"/>
          <w:szCs w:val="18"/>
          <w:lang w:eastAsia="ru-RU"/>
        </w:rPr>
        <w:t>.С</w:t>
      </w:r>
      <w:proofErr w:type="gramEnd"/>
      <w:r w:rsidRPr="008B2CE9">
        <w:rPr>
          <w:color w:val="000000"/>
          <w:position w:val="0"/>
          <w:sz w:val="18"/>
          <w:szCs w:val="18"/>
          <w:lang w:eastAsia="ru-RU"/>
        </w:rPr>
        <w:t>таханова,17  в кабинет бухгалтерии.</w:t>
      </w:r>
    </w:p>
    <w:p w14:paraId="374F1DE8" w14:textId="77777777" w:rsidR="008B2CE9" w:rsidRPr="008B2CE9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  <w:r w:rsidRPr="008B2CE9">
        <w:rPr>
          <w:color w:val="000000"/>
          <w:position w:val="0"/>
          <w:sz w:val="18"/>
          <w:szCs w:val="18"/>
          <w:lang w:eastAsia="ru-RU"/>
        </w:rPr>
        <w:lastRenderedPageBreak/>
        <w:t>Сроки выплат : по мере выделения бюджетных средств в течени</w:t>
      </w:r>
      <w:proofErr w:type="gramStart"/>
      <w:r w:rsidRPr="008B2CE9">
        <w:rPr>
          <w:color w:val="000000"/>
          <w:position w:val="0"/>
          <w:sz w:val="18"/>
          <w:szCs w:val="18"/>
          <w:lang w:eastAsia="ru-RU"/>
        </w:rPr>
        <w:t>и</w:t>
      </w:r>
      <w:proofErr w:type="gramEnd"/>
      <w:r w:rsidRPr="008B2CE9">
        <w:rPr>
          <w:color w:val="000000"/>
          <w:position w:val="0"/>
          <w:sz w:val="18"/>
          <w:szCs w:val="18"/>
          <w:lang w:eastAsia="ru-RU"/>
        </w:rPr>
        <w:t xml:space="preserve">  240 (двухсот сорока) календарных дней с даты поставки  Товара.</w:t>
      </w:r>
    </w:p>
    <w:p w14:paraId="713B1EF3" w14:textId="77777777" w:rsidR="008B2CE9" w:rsidRPr="008B2CE9" w:rsidRDefault="008B2CE9" w:rsidP="008B2CE9">
      <w:pPr>
        <w:suppressAutoHyphens w:val="0"/>
        <w:jc w:val="both"/>
        <w:rPr>
          <w:color w:val="000000"/>
          <w:position w:val="0"/>
          <w:sz w:val="18"/>
          <w:szCs w:val="18"/>
          <w:lang w:eastAsia="ru-RU"/>
        </w:rPr>
      </w:pPr>
    </w:p>
    <w:p w14:paraId="041F5009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B2CE9">
        <w:rPr>
          <w:position w:val="0"/>
          <w:sz w:val="18"/>
          <w:szCs w:val="18"/>
          <w:lang w:eastAsia="ru-RU"/>
        </w:rPr>
        <w:t>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proofErr w:type="gramEnd"/>
    </w:p>
    <w:p w14:paraId="404E1135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</w:t>
      </w:r>
      <w:r w:rsidRPr="008B2CE9">
        <w:rPr>
          <w:position w:val="0"/>
          <w:sz w:val="18"/>
          <w:szCs w:val="18"/>
          <w:lang w:eastAsia="ru-RU"/>
        </w:rPr>
        <w:t xml:space="preserve">. </w:t>
      </w:r>
    </w:p>
    <w:p w14:paraId="0DF6F0FA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 xml:space="preserve">Победителем признается потенциальный поставщик, предложивший наименьшее ценовое предложение. </w:t>
      </w:r>
    </w:p>
    <w:p w14:paraId="55876EAD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br/>
      </w:r>
      <w:bookmarkStart w:id="1" w:name="z392"/>
      <w:bookmarkEnd w:id="1"/>
      <w:r w:rsidRPr="008B2CE9">
        <w:rPr>
          <w:position w:val="0"/>
          <w:sz w:val="18"/>
          <w:szCs w:val="18"/>
          <w:lang w:eastAsia="ru-RU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 предусмотренных Правилами:</w:t>
      </w:r>
    </w:p>
    <w:p w14:paraId="47ADC41B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 xml:space="preserve">      </w:t>
      </w:r>
      <w:proofErr w:type="gramStart"/>
      <w:r w:rsidRPr="008B2CE9">
        <w:rPr>
          <w:position w:val="0"/>
          <w:sz w:val="18"/>
          <w:szCs w:val="18"/>
          <w:lang w:eastAsia="ru-RU"/>
        </w:rPr>
        <w:t xml:space="preserve">1) </w:t>
      </w:r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прекурсоров</w:t>
      </w:r>
      <w:proofErr w:type="spellEnd"/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r w:rsidRPr="008B2CE9">
        <w:rPr>
          <w:spacing w:val="2"/>
          <w:position w:val="0"/>
          <w:sz w:val="18"/>
          <w:szCs w:val="18"/>
          <w:shd w:val="clear" w:color="auto" w:fill="FFFFFF"/>
          <w:lang w:eastAsia="ru-RU"/>
        </w:rPr>
        <w:t>Законом</w:t>
      </w:r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прекурсоров</w:t>
      </w:r>
      <w:proofErr w:type="spellEnd"/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7" w:anchor="z1" w:history="1">
        <w:r w:rsidRPr="008B2CE9">
          <w:rPr>
            <w:color w:val="073A5E"/>
            <w:spacing w:val="2"/>
            <w:position w:val="0"/>
            <w:sz w:val="18"/>
            <w:szCs w:val="18"/>
            <w:u w:val="single"/>
            <w:shd w:val="clear" w:color="auto" w:fill="FFFFFF"/>
            <w:lang w:eastAsia="ru-RU"/>
          </w:rPr>
          <w:t>Законом</w:t>
        </w:r>
      </w:hyperlink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 "О разрешениях и уведомлениях"</w:t>
      </w:r>
      <w:r w:rsidRPr="008B2CE9">
        <w:rPr>
          <w:position w:val="0"/>
          <w:sz w:val="18"/>
          <w:szCs w:val="18"/>
          <w:lang w:eastAsia="ru-RU"/>
        </w:rPr>
        <w:t>;</w:t>
      </w:r>
      <w:proofErr w:type="gramEnd"/>
    </w:p>
    <w:p w14:paraId="704910CE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 xml:space="preserve">      2) </w:t>
      </w:r>
      <w:r w:rsidRPr="008B2CE9"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E16963D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38E6F1E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A4973EB" w14:textId="77777777" w:rsidR="008B2CE9" w:rsidRPr="008B2CE9" w:rsidRDefault="008B2CE9" w:rsidP="008B2CE9">
      <w:pPr>
        <w:suppressAutoHyphens w:val="0"/>
        <w:ind w:left="-709" w:right="-426"/>
        <w:jc w:val="both"/>
        <w:rPr>
          <w:position w:val="0"/>
          <w:sz w:val="18"/>
          <w:szCs w:val="18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EF0C3AE" w14:textId="77777777" w:rsidR="008B2CE9" w:rsidRPr="008B2CE9" w:rsidRDefault="008B2CE9" w:rsidP="008B2CE9">
      <w:pPr>
        <w:suppressAutoHyphens w:val="0"/>
        <w:ind w:left="-709" w:right="-426"/>
        <w:jc w:val="both"/>
        <w:rPr>
          <w:color w:val="000000"/>
          <w:spacing w:val="2"/>
          <w:position w:val="0"/>
          <w:sz w:val="18"/>
          <w:szCs w:val="18"/>
          <w:shd w:val="clear" w:color="auto" w:fill="FFFFFF"/>
          <w:lang w:eastAsia="ru-RU"/>
        </w:rPr>
      </w:pPr>
      <w:r w:rsidRPr="008B2CE9">
        <w:rPr>
          <w:position w:val="0"/>
          <w:sz w:val="18"/>
          <w:szCs w:val="18"/>
          <w:lang w:eastAsia="ru-RU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58FC4BA" w14:textId="77777777" w:rsidR="008B2CE9" w:rsidRPr="008B2CE9" w:rsidRDefault="008B2CE9" w:rsidP="008B2CE9">
      <w:pPr>
        <w:suppressAutoHyphens w:val="0"/>
        <w:ind w:left="720"/>
        <w:jc w:val="both"/>
        <w:rPr>
          <w:color w:val="000000"/>
          <w:position w:val="0"/>
          <w:szCs w:val="24"/>
          <w:lang w:eastAsia="ru-RU"/>
        </w:rPr>
      </w:pPr>
    </w:p>
    <w:p w14:paraId="56BD7B4A" w14:textId="77777777" w:rsidR="003D5745" w:rsidRPr="008B2CE9" w:rsidRDefault="003D5745" w:rsidP="003D5745"/>
    <w:p w14:paraId="3E2FAC89" w14:textId="77777777" w:rsidR="003D5745" w:rsidRDefault="003D5745" w:rsidP="00A45559">
      <w:pPr>
        <w:ind w:left="-709" w:right="-613"/>
        <w:jc w:val="both"/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</w:pPr>
    </w:p>
    <w:p w14:paraId="45FAD7C4" w14:textId="7B140D56" w:rsidR="003D5745" w:rsidRDefault="003D5745" w:rsidP="003D5745">
      <w:pPr>
        <w:ind w:left="-709" w:right="-613"/>
        <w:jc w:val="both"/>
        <w:rPr>
          <w:b/>
          <w:szCs w:val="24"/>
          <w:lang w:val="kk-KZ"/>
        </w:rPr>
      </w:pPr>
      <w:r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  <w:t xml:space="preserve">   </w:t>
      </w:r>
    </w:p>
    <w:p w14:paraId="4334456E" w14:textId="77777777" w:rsidR="003D5745" w:rsidRDefault="003D5745" w:rsidP="003D5745">
      <w:pPr>
        <w:ind w:left="-709" w:right="-613"/>
        <w:jc w:val="both"/>
        <w:rPr>
          <w:b/>
          <w:szCs w:val="24"/>
          <w:lang w:val="kk-KZ"/>
        </w:rPr>
      </w:pPr>
    </w:p>
    <w:p w14:paraId="2788FFD5" w14:textId="49AB7624" w:rsidR="00B65579" w:rsidRDefault="00B65579" w:rsidP="00A24AA5">
      <w:pPr>
        <w:ind w:right="-613"/>
        <w:jc w:val="both"/>
        <w:rPr>
          <w:rFonts w:eastAsia="Calibri"/>
          <w:b/>
          <w:color w:val="365F91" w:themeColor="accent1" w:themeShade="BF"/>
          <w:position w:val="0"/>
          <w:sz w:val="20"/>
          <w:lang w:val="kk-KZ" w:eastAsia="en-US"/>
        </w:rPr>
      </w:pPr>
    </w:p>
    <w:p w14:paraId="4DCB6046" w14:textId="77777777" w:rsidR="00094D8D" w:rsidRPr="00F32739" w:rsidRDefault="00094D8D" w:rsidP="00F777F5">
      <w:pPr>
        <w:ind w:left="-567"/>
        <w:rPr>
          <w:lang w:val="kk-KZ"/>
        </w:rPr>
      </w:pPr>
    </w:p>
    <w:sectPr w:rsidR="00094D8D" w:rsidRPr="00F32739" w:rsidSect="00747B0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511"/>
    <w:multiLevelType w:val="hybridMultilevel"/>
    <w:tmpl w:val="2578D5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4D"/>
    <w:rsid w:val="00010F68"/>
    <w:rsid w:val="00094D8D"/>
    <w:rsid w:val="000D58C0"/>
    <w:rsid w:val="000E0F0A"/>
    <w:rsid w:val="001F43E1"/>
    <w:rsid w:val="00227973"/>
    <w:rsid w:val="002D6EDC"/>
    <w:rsid w:val="003007FC"/>
    <w:rsid w:val="003B75B7"/>
    <w:rsid w:val="003C5CC3"/>
    <w:rsid w:val="003D5745"/>
    <w:rsid w:val="003E1DC2"/>
    <w:rsid w:val="004A7959"/>
    <w:rsid w:val="004B6350"/>
    <w:rsid w:val="004D246D"/>
    <w:rsid w:val="005B027F"/>
    <w:rsid w:val="006027C0"/>
    <w:rsid w:val="00635497"/>
    <w:rsid w:val="00684F1C"/>
    <w:rsid w:val="006C44CA"/>
    <w:rsid w:val="00747B05"/>
    <w:rsid w:val="00747C61"/>
    <w:rsid w:val="00783477"/>
    <w:rsid w:val="007A0A4B"/>
    <w:rsid w:val="007A511C"/>
    <w:rsid w:val="007E50DE"/>
    <w:rsid w:val="00822EC8"/>
    <w:rsid w:val="008308EC"/>
    <w:rsid w:val="008A0EC2"/>
    <w:rsid w:val="008B2CE9"/>
    <w:rsid w:val="008C521E"/>
    <w:rsid w:val="008C7E9A"/>
    <w:rsid w:val="00917B4D"/>
    <w:rsid w:val="00963EF3"/>
    <w:rsid w:val="00990A8C"/>
    <w:rsid w:val="009A1D01"/>
    <w:rsid w:val="009C667B"/>
    <w:rsid w:val="00A24AA5"/>
    <w:rsid w:val="00A45559"/>
    <w:rsid w:val="00A77E1B"/>
    <w:rsid w:val="00AC6D5F"/>
    <w:rsid w:val="00B2191D"/>
    <w:rsid w:val="00B57FDC"/>
    <w:rsid w:val="00B60AC9"/>
    <w:rsid w:val="00B65579"/>
    <w:rsid w:val="00B71427"/>
    <w:rsid w:val="00C03D5F"/>
    <w:rsid w:val="00C169D4"/>
    <w:rsid w:val="00C27D74"/>
    <w:rsid w:val="00C732D2"/>
    <w:rsid w:val="00D042CA"/>
    <w:rsid w:val="00D43CD7"/>
    <w:rsid w:val="00DC486E"/>
    <w:rsid w:val="00DE2EE9"/>
    <w:rsid w:val="00E45024"/>
    <w:rsid w:val="00E874FA"/>
    <w:rsid w:val="00F32739"/>
    <w:rsid w:val="00F777F5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EEA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400000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543E-2D49-455C-B41E-3B94A86A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02062</dc:creator>
  <cp:lastModifiedBy>Госзакуп</cp:lastModifiedBy>
  <cp:revision>14</cp:revision>
  <cp:lastPrinted>2024-01-19T11:05:00Z</cp:lastPrinted>
  <dcterms:created xsi:type="dcterms:W3CDTF">2024-03-12T11:01:00Z</dcterms:created>
  <dcterms:modified xsi:type="dcterms:W3CDTF">2024-03-15T06:26:00Z</dcterms:modified>
</cp:coreProperties>
</file>